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0" w:rsidRDefault="00344580"/>
    <w:p w:rsidR="00873A48" w:rsidRDefault="00870161">
      <w:r w:rsidRPr="00870161">
        <w:drawing>
          <wp:inline distT="0" distB="0" distL="0" distR="0">
            <wp:extent cx="6762750" cy="35909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1C32" w:rsidRDefault="00870161">
      <w:r w:rsidRPr="00870161">
        <w:drawing>
          <wp:inline distT="0" distB="0" distL="0" distR="0">
            <wp:extent cx="6810375" cy="49815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F1C" w:rsidRDefault="006F43FF">
      <w:r w:rsidRPr="006F43FF">
        <w:rPr>
          <w:noProof/>
        </w:rPr>
        <w:lastRenderedPageBreak/>
        <w:drawing>
          <wp:inline distT="0" distB="0" distL="0" distR="0">
            <wp:extent cx="6848475" cy="421957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4580" w:rsidRDefault="00870161">
      <w:r w:rsidRPr="00870161">
        <w:drawing>
          <wp:inline distT="0" distB="0" distL="0" distR="0">
            <wp:extent cx="6848475" cy="4629150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0942" w:rsidRDefault="00FC0942">
      <w:r w:rsidRPr="00FC0942">
        <w:rPr>
          <w:noProof/>
        </w:rPr>
        <w:lastRenderedPageBreak/>
        <w:drawing>
          <wp:inline distT="0" distB="0" distL="0" distR="0">
            <wp:extent cx="6991350" cy="460057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70F7" w:rsidRDefault="00870161">
      <w:r w:rsidRPr="00870161">
        <w:drawing>
          <wp:inline distT="0" distB="0" distL="0" distR="0">
            <wp:extent cx="6991350" cy="4267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7EB" w:rsidRDefault="005937EB">
      <w:r w:rsidRPr="005937EB">
        <w:rPr>
          <w:noProof/>
        </w:rPr>
        <w:lastRenderedPageBreak/>
        <w:drawing>
          <wp:inline distT="0" distB="0" distL="0" distR="0">
            <wp:extent cx="7086600" cy="4305300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2D8C" w:rsidRDefault="00870161">
      <w:r w:rsidRPr="00870161">
        <w:drawing>
          <wp:inline distT="0" distB="0" distL="0" distR="0">
            <wp:extent cx="7019925" cy="4495800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62D8C" w:rsidSect="0087016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580"/>
    <w:rsid w:val="00090F1C"/>
    <w:rsid w:val="000D07E6"/>
    <w:rsid w:val="00173B45"/>
    <w:rsid w:val="002520A5"/>
    <w:rsid w:val="00262D8C"/>
    <w:rsid w:val="002C01C6"/>
    <w:rsid w:val="00344580"/>
    <w:rsid w:val="00390F98"/>
    <w:rsid w:val="003A7A22"/>
    <w:rsid w:val="005937EB"/>
    <w:rsid w:val="006F43FF"/>
    <w:rsid w:val="00854296"/>
    <w:rsid w:val="00870161"/>
    <w:rsid w:val="00873A48"/>
    <w:rsid w:val="00BD70F7"/>
    <w:rsid w:val="00CD5CCD"/>
    <w:rsid w:val="00D1508F"/>
    <w:rsid w:val="00E65F48"/>
    <w:rsid w:val="00ED07E6"/>
    <w:rsid w:val="00F07F75"/>
    <w:rsid w:val="00F33E83"/>
    <w:rsid w:val="00FC0942"/>
    <w:rsid w:val="00F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bcc\Stats\Orientation%20Stats\2011%20PCC%20ORIENTATION%20SCHEDULE%20WORKSHEE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bcc\Stats\Orientation%20Stats\2011%20PCC%20ORIENTATION%20SCHEDULE%20WORKSHEE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Orientation%20Stats\2011%20PCC%20ORIENTATION%20SCHEDULE%20WORKSHEE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bcc\Stats\Orientation%20Stats\2011%20PCC%20ORIENTATION%20SCHEDULE%20WORKSHEET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Orientation%20Stats\2011%20PCC%20ORIENTATION%20SCHEDULE%20WORKSHEET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bcc\Stats\Orientation%20Stats\2011%20PCC%20ORIENTATION%20SCHEDULE%20WORKSHEET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bcc\Stats\Orientation%20Stats\2011%20PCC%20ORIENTATION%20SCHEDULE%20WORKSHEET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bcc\Stats\Orientation%20Stats\2011%20PCC%20ORIENTATION%20SCHEDULE%20WORKSHE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9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PCC Orientations 2010-2011 </a:t>
            </a:r>
          </a:p>
          <a:p>
            <a:pPr>
              <a:defRPr/>
            </a:pPr>
            <a:r>
              <a:rPr lang="en-US" sz="1800" b="1" i="0" baseline="0"/>
              <a:t>by Total Students Served (502 total)</a:t>
            </a:r>
            <a:endParaRPr lang="en-US"/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5.8689142730398134E-4"/>
                  <c:y val="0.26388883087226828"/>
                </c:manualLayout>
              </c:layout>
              <c:showVal val="1"/>
            </c:dLbl>
            <c:dLbl>
              <c:idx val="1"/>
              <c:layout>
                <c:manualLayout>
                  <c:x val="-1.1345976119182285E-3"/>
                  <c:y val="0.20833322890341624"/>
                </c:manualLayout>
              </c:layout>
              <c:showVal val="1"/>
            </c:dLbl>
            <c:txPr>
              <a:bodyPr/>
              <a:lstStyle/>
              <a:p>
                <a:pPr>
                  <a:defRPr sz="3200"/>
                </a:pPr>
                <a:endParaRPr lang="en-US"/>
              </a:p>
            </c:txPr>
            <c:showVal val="1"/>
          </c:dLbls>
          <c:cat>
            <c:strRef>
              <c:f>'2010-2011'!$N$2:$N$3</c:f>
              <c:strCache>
                <c:ptCount val="2"/>
                <c:pt idx="0">
                  <c:v>Fall 2010</c:v>
                </c:pt>
                <c:pt idx="1">
                  <c:v>Spring 2011</c:v>
                </c:pt>
              </c:strCache>
            </c:strRef>
          </c:cat>
          <c:val>
            <c:numRef>
              <c:f>'2010-2011'!$O$2:$O$3</c:f>
              <c:numCache>
                <c:formatCode>General</c:formatCode>
                <c:ptCount val="2"/>
                <c:pt idx="0">
                  <c:v>289</c:v>
                </c:pt>
                <c:pt idx="1">
                  <c:v>213</c:v>
                </c:pt>
              </c:numCache>
            </c:numRef>
          </c:val>
        </c:ser>
        <c:shape val="box"/>
        <c:axId val="32216960"/>
        <c:axId val="36133120"/>
        <c:axId val="0"/>
      </c:bar3DChart>
      <c:catAx>
        <c:axId val="32216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36133120"/>
        <c:crosses val="autoZero"/>
        <c:auto val="1"/>
        <c:lblAlgn val="ctr"/>
        <c:lblOffset val="100"/>
      </c:catAx>
      <c:valAx>
        <c:axId val="3613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32216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6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PCC Orientations 2010-2011 </a:t>
            </a:r>
            <a:endParaRPr lang="en-US"/>
          </a:p>
          <a:p>
            <a:pPr>
              <a:defRPr/>
            </a:pPr>
            <a:r>
              <a:rPr lang="en-US" sz="1800" b="1" i="0" baseline="0"/>
              <a:t>by Semester Totals (18 total)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0.19907407407407407"/>
                </c:manualLayout>
              </c:layout>
              <c:spPr/>
              <c:txPr>
                <a:bodyPr/>
                <a:lstStyle/>
                <a:p>
                  <a:pPr>
                    <a:defRPr sz="3200"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5.5555555555555558E-3"/>
                  <c:y val="0.14351851851851838"/>
                </c:manualLayout>
              </c:layout>
              <c:spPr/>
              <c:txPr>
                <a:bodyPr/>
                <a:lstStyle/>
                <a:p>
                  <a:pPr>
                    <a:defRPr sz="3200"/>
                  </a:pPr>
                  <a:endParaRPr lang="en-US"/>
                </a:p>
              </c:txPr>
              <c:showVal val="1"/>
            </c:dLbl>
            <c:showVal val="1"/>
          </c:dLbls>
          <c:cat>
            <c:strRef>
              <c:f>'2010-2011'!$N$16:$N$17</c:f>
              <c:strCache>
                <c:ptCount val="2"/>
                <c:pt idx="0">
                  <c:v>Fall 2010 Total</c:v>
                </c:pt>
                <c:pt idx="1">
                  <c:v>Spring 2011 Total</c:v>
                </c:pt>
              </c:strCache>
            </c:strRef>
          </c:cat>
          <c:val>
            <c:numRef>
              <c:f>'2010-2011'!$O$16:$O$17</c:f>
              <c:numCache>
                <c:formatCode>General</c:formatCode>
                <c:ptCount val="2"/>
                <c:pt idx="0" formatCode="0">
                  <c:v>11</c:v>
                </c:pt>
                <c:pt idx="1">
                  <c:v>7</c:v>
                </c:pt>
              </c:numCache>
            </c:numRef>
          </c:val>
        </c:ser>
        <c:shape val="box"/>
        <c:axId val="64648704"/>
        <c:axId val="64650624"/>
        <c:axId val="0"/>
      </c:bar3DChart>
      <c:catAx>
        <c:axId val="64648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64650624"/>
        <c:crosses val="autoZero"/>
        <c:auto val="1"/>
        <c:lblAlgn val="ctr"/>
        <c:lblOffset val="100"/>
      </c:catAx>
      <c:valAx>
        <c:axId val="646506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64648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6"/>
  <c:chart>
    <c:title>
      <c:tx>
        <c:rich>
          <a:bodyPr/>
          <a:lstStyle/>
          <a:p>
            <a:pPr>
              <a:defRPr/>
            </a:pPr>
            <a:r>
              <a:rPr lang="en-US"/>
              <a:t>Fall 2010 # of Orientations PCC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4.2598509052183039E-3"/>
                  <c:y val="0.18223234624145812"/>
                </c:manualLayout>
              </c:layout>
              <c:showVal val="1"/>
            </c:dLbl>
            <c:dLbl>
              <c:idx val="1"/>
              <c:layout>
                <c:manualLayout>
                  <c:x val="7.2162050675515371E-3"/>
                  <c:y val="0.15177808191583281"/>
                </c:manualLayout>
              </c:layout>
              <c:showVal val="1"/>
            </c:dLbl>
            <c:dLbl>
              <c:idx val="2"/>
              <c:layout>
                <c:manualLayout>
                  <c:x val="2.1299254526091602E-3"/>
                  <c:y val="0.16097190584662124"/>
                </c:manualLayout>
              </c:layout>
              <c:showVal val="1"/>
            </c:dLbl>
            <c:dLbl>
              <c:idx val="3"/>
              <c:layout>
                <c:manualLayout>
                  <c:x val="-2.1299254526090834E-3"/>
                  <c:y val="0.19741837509491289"/>
                </c:manualLayout>
              </c:layout>
              <c:showVal val="1"/>
            </c:dLbl>
            <c:dLbl>
              <c:idx val="4"/>
              <c:layout>
                <c:manualLayout>
                  <c:x val="4.2598509052183238E-3"/>
                  <c:y val="0.17312072892938465"/>
                </c:manualLayout>
              </c:layout>
              <c:showVal val="1"/>
            </c:dLbl>
            <c:txPr>
              <a:bodyPr/>
              <a:lstStyle/>
              <a:p>
                <a:pPr>
                  <a:defRPr sz="3200"/>
                </a:pPr>
                <a:endParaRPr lang="en-US"/>
              </a:p>
            </c:txPr>
            <c:showVal val="1"/>
          </c:dLbls>
          <c:cat>
            <c:strRef>
              <c:f>'2010-2011'!$A$33:$A$37</c:f>
              <c:strCache>
                <c:ptCount val="5"/>
                <c:pt idx="0">
                  <c:v>Sethuraman</c:v>
                </c:pt>
                <c:pt idx="1">
                  <c:v>Beeler</c:v>
                </c:pt>
                <c:pt idx="2">
                  <c:v>Wood </c:v>
                </c:pt>
                <c:pt idx="3">
                  <c:v>Hinton</c:v>
                </c:pt>
                <c:pt idx="4">
                  <c:v>Raza</c:v>
                </c:pt>
              </c:strCache>
            </c:strRef>
          </c:cat>
          <c:val>
            <c:numRef>
              <c:f>'2010-2011'!$B$33:$B$37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hape val="box"/>
        <c:axId val="33745152"/>
        <c:axId val="33890304"/>
        <c:axId val="0"/>
      </c:bar3DChart>
      <c:catAx>
        <c:axId val="33745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3890304"/>
        <c:crosses val="autoZero"/>
        <c:auto val="1"/>
        <c:lblAlgn val="ctr"/>
        <c:lblOffset val="100"/>
      </c:catAx>
      <c:valAx>
        <c:axId val="33890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337451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Spring 2011 # of Orientations PCC</a:t>
            </a:r>
          </a:p>
        </c:rich>
      </c:tx>
      <c:layout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9835520559930085E-2"/>
          <c:y val="0.21563023126046268"/>
          <c:w val="0.87794225721784813"/>
          <c:h val="0.60861719056771468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2980992118683357E-2"/>
                  <c:y val="-2.7434842249657062E-3"/>
                </c:manualLayout>
              </c:layout>
              <c:showVal val="1"/>
            </c:dLbl>
            <c:dLbl>
              <c:idx val="1"/>
              <c:layout>
                <c:manualLayout>
                  <c:x val="1.298099211868335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2656467315709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3200"/>
                </a:pPr>
                <a:endParaRPr lang="en-US"/>
              </a:p>
            </c:txPr>
            <c:showVal val="1"/>
          </c:dLbls>
          <c:cat>
            <c:strRef>
              <c:f>'2010-2011'!$A$86:$A$89</c:f>
              <c:strCache>
                <c:ptCount val="4"/>
                <c:pt idx="0">
                  <c:v>Beeler</c:v>
                </c:pt>
                <c:pt idx="1">
                  <c:v>Wood </c:v>
                </c:pt>
                <c:pt idx="2">
                  <c:v>Fucinari</c:v>
                </c:pt>
                <c:pt idx="3">
                  <c:v>Smith</c:v>
                </c:pt>
              </c:strCache>
            </c:strRef>
          </c:cat>
          <c:val>
            <c:numRef>
              <c:f>'2010-2011'!$B$86:$B$89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hape val="box"/>
        <c:axId val="32363264"/>
        <c:axId val="32365184"/>
        <c:axId val="0"/>
      </c:bar3DChart>
      <c:catAx>
        <c:axId val="32363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2365184"/>
        <c:crosses val="autoZero"/>
        <c:auto val="1"/>
        <c:lblAlgn val="ctr"/>
        <c:lblOffset val="100"/>
      </c:catAx>
      <c:valAx>
        <c:axId val="32365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3236326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/>
          <a:lstStyle/>
          <a:p>
            <a:pPr>
              <a:defRPr/>
            </a:pPr>
            <a:r>
              <a:rPr lang="en-US"/>
              <a:t>PCC Orientations 2010-2011 by Days of </a:t>
            </a:r>
          </a:p>
          <a:p>
            <a:pPr>
              <a:defRPr/>
            </a:pPr>
            <a:r>
              <a:rPr lang="en-US"/>
              <a:t>the Week  (Fall 2010)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1.6528925619834732E-2"/>
                  <c:y val="6.5199674001630075E-3"/>
                </c:manualLayout>
              </c:layout>
              <c:showVal val="1"/>
            </c:dLbl>
            <c:dLbl>
              <c:idx val="1"/>
              <c:layout>
                <c:manualLayout>
                  <c:x val="1.5771313709753224E-2"/>
                  <c:y val="-4.629690237375585E-3"/>
                </c:manualLayout>
              </c:layout>
              <c:showVal val="1"/>
            </c:dLbl>
            <c:dLbl>
              <c:idx val="2"/>
              <c:layout>
                <c:manualLayout>
                  <c:x val="1.410085319716507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69237832874196E-2"/>
                  <c:y val="3.2599837000815051E-3"/>
                </c:manualLayout>
              </c:layout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3200"/>
                </a:pPr>
                <a:endParaRPr lang="en-US"/>
              </a:p>
            </c:txPr>
            <c:showVal val="1"/>
          </c:dLbls>
          <c:cat>
            <c:strRef>
              <c:f>'2010-2011'!$N$20:$N$24</c:f>
              <c:strCache>
                <c:ptCount val="5"/>
                <c:pt idx="0">
                  <c:v>M</c:v>
                </c:pt>
                <c:pt idx="1">
                  <c:v>TU</c:v>
                </c:pt>
                <c:pt idx="2">
                  <c:v>W</c:v>
                </c:pt>
                <c:pt idx="3">
                  <c:v>TH</c:v>
                </c:pt>
                <c:pt idx="4">
                  <c:v>F</c:v>
                </c:pt>
              </c:strCache>
            </c:strRef>
          </c:cat>
          <c:val>
            <c:numRef>
              <c:f>'2010-2011'!$O$20:$O$24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55"/>
        <c:gapDepth val="55"/>
        <c:shape val="cylinder"/>
        <c:axId val="34031104"/>
        <c:axId val="34032640"/>
        <c:axId val="0"/>
      </c:bar3DChart>
      <c:catAx>
        <c:axId val="34031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4032640"/>
        <c:crosses val="autoZero"/>
        <c:auto val="1"/>
        <c:lblAlgn val="ctr"/>
        <c:lblOffset val="100"/>
      </c:catAx>
      <c:valAx>
        <c:axId val="34032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40311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PCC Orientations 2010-2011 by Days of the Week (Spring 2011)</a:t>
            </a:r>
            <a:endParaRPr lang="en-US"/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1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3200"/>
                </a:pPr>
                <a:endParaRPr lang="en-US"/>
              </a:p>
            </c:txPr>
            <c:showVal val="1"/>
          </c:dLbls>
          <c:cat>
            <c:strRef>
              <c:f>'2010-2011'!$N$53:$N$58</c:f>
              <c:strCache>
                <c:ptCount val="6"/>
                <c:pt idx="0">
                  <c:v>M</c:v>
                </c:pt>
                <c:pt idx="1">
                  <c:v>TU</c:v>
                </c:pt>
                <c:pt idx="2">
                  <c:v>W</c:v>
                </c:pt>
                <c:pt idx="3">
                  <c:v>TH</c:v>
                </c:pt>
                <c:pt idx="4">
                  <c:v>F</c:v>
                </c:pt>
                <c:pt idx="5">
                  <c:v>Sat</c:v>
                </c:pt>
              </c:strCache>
            </c:strRef>
          </c:cat>
          <c:val>
            <c:numRef>
              <c:f>'2010-2011'!$O$53:$O$58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gapWidth val="55"/>
        <c:gapDepth val="55"/>
        <c:shape val="box"/>
        <c:axId val="34085504"/>
        <c:axId val="34092160"/>
        <c:axId val="0"/>
      </c:bar3DChart>
      <c:catAx>
        <c:axId val="34085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4092160"/>
        <c:crosses val="autoZero"/>
        <c:auto val="1"/>
        <c:lblAlgn val="ctr"/>
        <c:lblOffset val="100"/>
      </c:catAx>
      <c:valAx>
        <c:axId val="34092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4085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9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PCC Orientations 2010-2011 </a:t>
            </a:r>
            <a:endParaRPr lang="en-US"/>
          </a:p>
          <a:p>
            <a:pPr>
              <a:defRPr/>
            </a:pPr>
            <a:r>
              <a:rPr lang="en-US" sz="1800" b="1" i="0" baseline="0"/>
              <a:t>by Time of Day (Fall 2010)</a:t>
            </a:r>
            <a:endParaRPr lang="en-US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'2010-2011'!$N$27:$N$29</c:f>
              <c:strCache>
                <c:ptCount val="3"/>
                <c:pt idx="0">
                  <c:v>Morning</c:v>
                </c:pt>
                <c:pt idx="1">
                  <c:v>Afternoon</c:v>
                </c:pt>
                <c:pt idx="2">
                  <c:v>Evening</c:v>
                </c:pt>
              </c:strCache>
            </c:strRef>
          </c:cat>
          <c:val>
            <c:numRef>
              <c:f>'2010-2011'!$O$27:$O$29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1"/>
  <c:chart>
    <c:title>
      <c:tx>
        <c:rich>
          <a:bodyPr/>
          <a:lstStyle/>
          <a:p>
            <a:pPr>
              <a:defRPr/>
            </a:pPr>
            <a:r>
              <a:rPr lang="en-US"/>
              <a:t>PCC Orientations 2010-2011 </a:t>
            </a:r>
          </a:p>
          <a:p>
            <a:pPr>
              <a:defRPr/>
            </a:pPr>
            <a:r>
              <a:rPr lang="en-US"/>
              <a:t>by Time of Day (Spring 2011)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'2010-2011'!$N$63:$N$64</c:f>
              <c:strCache>
                <c:ptCount val="2"/>
                <c:pt idx="0">
                  <c:v>Morning</c:v>
                </c:pt>
                <c:pt idx="1">
                  <c:v>Afternoon</c:v>
                </c:pt>
              </c:strCache>
            </c:strRef>
          </c:cat>
          <c:val>
            <c:numRef>
              <c:f>'2010-2011'!$O$63:$O$64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pcclibrary</dc:creator>
  <cp:keywords/>
  <dc:description/>
  <cp:lastModifiedBy>librarian</cp:lastModifiedBy>
  <cp:revision>5</cp:revision>
  <dcterms:created xsi:type="dcterms:W3CDTF">2011-03-31T20:20:00Z</dcterms:created>
  <dcterms:modified xsi:type="dcterms:W3CDTF">2011-05-13T16:33:00Z</dcterms:modified>
</cp:coreProperties>
</file>